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6923E6" w14:textId="2BF74B3E" w:rsidR="00706FE7" w:rsidRPr="00C877E2" w:rsidRDefault="00706FE7" w:rsidP="00C877E2">
      <w:pPr>
        <w:jc w:val="both"/>
        <w:rPr>
          <w:rFonts w:ascii="Calibri" w:hAnsi="Calibri" w:cs="Calibri"/>
        </w:rPr>
      </w:pPr>
      <w:bookmarkStart w:id="0" w:name="_GoBack"/>
      <w:bookmarkEnd w:id="0"/>
      <w:r w:rsidRPr="00C877E2">
        <w:rPr>
          <w:rFonts w:ascii="Calibri" w:hAnsi="Calibri" w:cs="Calibri"/>
        </w:rPr>
        <w:t>Criterios técnicos y administrativos aplicados para la primera distribución de recursos de la Asignación 070 “Planes de Desarrollo para Territorios Rezagados”</w:t>
      </w:r>
    </w:p>
    <w:p w14:paraId="3F930A7E" w14:textId="43DC4870" w:rsidR="00706FE7" w:rsidRPr="00C877E2" w:rsidRDefault="00706FE7" w:rsidP="00C877E2">
      <w:pPr>
        <w:jc w:val="both"/>
        <w:rPr>
          <w:rFonts w:ascii="Calibri" w:hAnsi="Calibri" w:cs="Calibri"/>
          <w:b/>
          <w:bCs/>
        </w:rPr>
      </w:pPr>
      <w:r w:rsidRPr="00C877E2">
        <w:rPr>
          <w:rFonts w:ascii="Calibri" w:hAnsi="Calibri" w:cs="Calibri"/>
          <w:b/>
          <w:bCs/>
        </w:rPr>
        <w:t>ANTECEDENTES</w:t>
      </w:r>
      <w:r w:rsidR="00C877E2">
        <w:rPr>
          <w:rFonts w:ascii="Calibri" w:hAnsi="Calibri" w:cs="Calibri"/>
          <w:b/>
          <w:bCs/>
        </w:rPr>
        <w:t>:</w:t>
      </w:r>
    </w:p>
    <w:p w14:paraId="283BDCD1" w14:textId="77777777" w:rsidR="00C877E2" w:rsidRPr="00C877E2" w:rsidRDefault="00C877E2" w:rsidP="00C877E2">
      <w:pPr>
        <w:jc w:val="both"/>
        <w:rPr>
          <w:rFonts w:ascii="Calibri" w:hAnsi="Calibri" w:cs="Calibri"/>
        </w:rPr>
      </w:pPr>
      <w:r w:rsidRPr="00C877E2">
        <w:rPr>
          <w:rFonts w:ascii="Calibri" w:hAnsi="Calibri" w:cs="Calibri"/>
        </w:rPr>
        <w:t>La Ley de Presupuestos vigente contempló inicialmente para la Asignación 070 “Planes de Desarrollo para Territorios Rezagados” un monto de $8.114.688. Sin embargo, dicho presupuesto fue posteriormente ajustado a un total de M$7.630.974. Estos recursos están destinados al financiamiento de iniciativas de inversión incorporadas en los Planes de Desarrollo aprobados para los territorios priorizados, en el marco de la Política Nacional sobre Zonas Rezagadas en Materia Social.</w:t>
      </w:r>
    </w:p>
    <w:p w14:paraId="1B931811" w14:textId="77777777" w:rsidR="00C877E2" w:rsidRPr="00C877E2" w:rsidRDefault="00C877E2" w:rsidP="00C877E2">
      <w:pPr>
        <w:jc w:val="both"/>
        <w:rPr>
          <w:rFonts w:ascii="Calibri" w:hAnsi="Calibri" w:cs="Calibri"/>
        </w:rPr>
      </w:pPr>
      <w:r w:rsidRPr="00C877E2">
        <w:rPr>
          <w:rFonts w:ascii="Calibri" w:hAnsi="Calibri" w:cs="Calibri"/>
        </w:rPr>
        <w:t>La distribución de estos fondos se realizó considerando los objetivos establecidos en la Política Nacional sobre Zonas Rezagadas, aprobada mediante Decreto Supremo N.° 90 del Ministerio del Interior y Seguridad Pública, cuyo propósito es focalizar la inversión pública en territorios que presentan brechas significativas de desarrollo y bienestar social. De este modo, se busca promover una gestión eficiente de los recursos públicos y dar cumplimiento a los compromisos establecidos en los Planes de Desarrollo vigentes. Asimismo, la normativa asigna a los Gobiernos Regionales la responsabilidad de velar por el seguimiento, monitoreo y ejecución de dichos planes.</w:t>
      </w:r>
    </w:p>
    <w:p w14:paraId="750F0B5B" w14:textId="77777777" w:rsidR="00C877E2" w:rsidRPr="00C877E2" w:rsidRDefault="00C877E2" w:rsidP="00C877E2">
      <w:pPr>
        <w:jc w:val="both"/>
        <w:rPr>
          <w:rFonts w:ascii="Calibri" w:hAnsi="Calibri" w:cs="Calibri"/>
        </w:rPr>
      </w:pPr>
      <w:r w:rsidRPr="00C877E2">
        <w:rPr>
          <w:rFonts w:ascii="Calibri" w:hAnsi="Calibri" w:cs="Calibri"/>
        </w:rPr>
        <w:t>En este contexto, y con el propósito de garantizar una asignación transparente, objetiva y coherente con los compromisos programáticos definidos para cada territorio, se establecieron criterios técnicos y administrativos para la distribución de los recursos disponibles.</w:t>
      </w:r>
    </w:p>
    <w:p w14:paraId="5D339153" w14:textId="77777777" w:rsidR="00C877E2" w:rsidRPr="00C877E2" w:rsidRDefault="00C877E2" w:rsidP="00C877E2">
      <w:pPr>
        <w:jc w:val="both"/>
        <w:rPr>
          <w:rFonts w:ascii="Calibri" w:hAnsi="Calibri" w:cs="Calibri"/>
        </w:rPr>
      </w:pPr>
      <w:r w:rsidRPr="00C877E2">
        <w:rPr>
          <w:rFonts w:ascii="Calibri" w:hAnsi="Calibri" w:cs="Calibri"/>
        </w:rPr>
        <w:t>Cabe señalar que la Subsecretaría de Desarrollo Regional y Administrativo (SUBDERE) efectuó este proceso sobre la base de los requerimientos presentados por cada Gobierno Regional. En consecuencia, tras el análisis técnico de las solicitudes y considerando la disponibilidad presupuestaria existente, la SUBDERE determinó la distribución de los recursos correspondientes a esta asignación.</w:t>
      </w:r>
    </w:p>
    <w:p w14:paraId="20765A7D" w14:textId="74D3C474" w:rsidR="00706FE7" w:rsidRPr="00C877E2" w:rsidRDefault="00706FE7" w:rsidP="00C877E2">
      <w:pPr>
        <w:jc w:val="both"/>
        <w:rPr>
          <w:rFonts w:ascii="Calibri" w:hAnsi="Calibri" w:cs="Calibri"/>
          <w:b/>
          <w:bCs/>
        </w:rPr>
      </w:pPr>
      <w:r w:rsidRPr="00C877E2">
        <w:rPr>
          <w:rFonts w:ascii="Calibri" w:hAnsi="Calibri" w:cs="Calibri"/>
          <w:b/>
          <w:bCs/>
        </w:rPr>
        <w:t>CRITERIOS APLICADOS</w:t>
      </w:r>
      <w:r w:rsidR="00C877E2">
        <w:rPr>
          <w:rFonts w:ascii="Calibri" w:hAnsi="Calibri" w:cs="Calibri"/>
          <w:b/>
          <w:bCs/>
        </w:rPr>
        <w:t>:</w:t>
      </w:r>
    </w:p>
    <w:p w14:paraId="777A37F6" w14:textId="77777777" w:rsidR="00706FE7" w:rsidRPr="00C877E2" w:rsidRDefault="00706FE7" w:rsidP="00C877E2">
      <w:pPr>
        <w:numPr>
          <w:ilvl w:val="0"/>
          <w:numId w:val="1"/>
        </w:numPr>
        <w:jc w:val="both"/>
        <w:rPr>
          <w:rFonts w:ascii="Calibri" w:hAnsi="Calibri" w:cs="Calibri"/>
          <w:b/>
          <w:bCs/>
        </w:rPr>
      </w:pPr>
      <w:r w:rsidRPr="00C877E2">
        <w:rPr>
          <w:rFonts w:ascii="Calibri" w:hAnsi="Calibri" w:cs="Calibri"/>
          <w:b/>
          <w:bCs/>
        </w:rPr>
        <w:t>Disponibilidad de recomendación favorable para la ejecución de iniciativas</w:t>
      </w:r>
    </w:p>
    <w:p w14:paraId="26C1CE4E" w14:textId="0C4E08E9" w:rsidR="00706FE7" w:rsidRPr="00C877E2" w:rsidRDefault="00706FE7" w:rsidP="00C877E2">
      <w:pPr>
        <w:jc w:val="both"/>
        <w:rPr>
          <w:rFonts w:ascii="Calibri" w:hAnsi="Calibri" w:cs="Calibri"/>
        </w:rPr>
      </w:pPr>
      <w:r w:rsidRPr="00C877E2">
        <w:rPr>
          <w:rFonts w:ascii="Calibri" w:hAnsi="Calibri" w:cs="Calibri"/>
        </w:rPr>
        <w:t>Como requisito fundamental para acceder al financiamiento, se consideró que las iniciativas de inversión contaran con Recomendación Satisfactoria (RS) o Aprobación Técnica (AT) vigente, según correspondiera.</w:t>
      </w:r>
    </w:p>
    <w:p w14:paraId="74145C93" w14:textId="1F9A4F7B" w:rsidR="00706FE7" w:rsidRPr="00C877E2" w:rsidRDefault="00706FE7" w:rsidP="00C877E2">
      <w:pPr>
        <w:jc w:val="both"/>
        <w:rPr>
          <w:rFonts w:ascii="Calibri" w:hAnsi="Calibri" w:cs="Calibri"/>
        </w:rPr>
      </w:pPr>
      <w:r w:rsidRPr="00C877E2">
        <w:rPr>
          <w:rFonts w:ascii="Calibri" w:hAnsi="Calibri" w:cs="Calibri"/>
        </w:rPr>
        <w:t xml:space="preserve">Este criterio permite asegurar que los proyectos han sido sometidos a los procesos de evaluación técnica y económica establecidos por el Sistema Nacional de Inversiones u otros mecanismos habilitados por </w:t>
      </w:r>
      <w:r w:rsidR="00AB7983">
        <w:rPr>
          <w:rFonts w:ascii="Calibri" w:hAnsi="Calibri" w:cs="Calibri"/>
        </w:rPr>
        <w:t>cada</w:t>
      </w:r>
      <w:r w:rsidRPr="00C877E2">
        <w:rPr>
          <w:rFonts w:ascii="Calibri" w:hAnsi="Calibri" w:cs="Calibri"/>
        </w:rPr>
        <w:t xml:space="preserve"> gobierno regional, garantizando su viabilidad para ser ejecutados durante el período presupuestario respectivo.</w:t>
      </w:r>
    </w:p>
    <w:p w14:paraId="4C30763A" w14:textId="7C3D38D6" w:rsidR="00706FE7" w:rsidRPr="00C877E2" w:rsidRDefault="00706FE7" w:rsidP="00C877E2">
      <w:pPr>
        <w:jc w:val="both"/>
        <w:rPr>
          <w:rFonts w:ascii="Calibri" w:hAnsi="Calibri" w:cs="Calibri"/>
        </w:rPr>
      </w:pPr>
      <w:r w:rsidRPr="00C877E2">
        <w:rPr>
          <w:rFonts w:ascii="Calibri" w:hAnsi="Calibri" w:cs="Calibri"/>
        </w:rPr>
        <w:t xml:space="preserve">La exigencia de contar con una recomendación favorable o aprobación técnica busca resguardar el adecuado uso de los recursos públicos, priorizando aquellas iniciativas que se encuentran en </w:t>
      </w:r>
      <w:r w:rsidRPr="00C877E2">
        <w:rPr>
          <w:rFonts w:ascii="Calibri" w:hAnsi="Calibri" w:cs="Calibri"/>
        </w:rPr>
        <w:lastRenderedPageBreak/>
        <w:t>condiciones efectivas de materializarse y generar los beneficios comprometidos para la población de los territorios rezagados.</w:t>
      </w:r>
    </w:p>
    <w:p w14:paraId="7A346E9A" w14:textId="77777777" w:rsidR="00706FE7" w:rsidRPr="00C877E2" w:rsidRDefault="00706FE7" w:rsidP="00C877E2">
      <w:pPr>
        <w:numPr>
          <w:ilvl w:val="0"/>
          <w:numId w:val="2"/>
        </w:numPr>
        <w:jc w:val="both"/>
        <w:rPr>
          <w:rFonts w:ascii="Calibri" w:hAnsi="Calibri" w:cs="Calibri"/>
          <w:b/>
          <w:bCs/>
        </w:rPr>
      </w:pPr>
      <w:r w:rsidRPr="00C877E2">
        <w:rPr>
          <w:rFonts w:ascii="Calibri" w:hAnsi="Calibri" w:cs="Calibri"/>
          <w:b/>
          <w:bCs/>
        </w:rPr>
        <w:t>Existencia de financiamiento comprometido mediante la Asignación 070 en los Planes de Desarrollo</w:t>
      </w:r>
    </w:p>
    <w:p w14:paraId="4883FA7D" w14:textId="77777777" w:rsidR="00706FE7" w:rsidRPr="00C877E2" w:rsidRDefault="00706FE7" w:rsidP="00C877E2">
      <w:pPr>
        <w:jc w:val="both"/>
        <w:rPr>
          <w:rFonts w:ascii="Calibri" w:hAnsi="Calibri" w:cs="Calibri"/>
        </w:rPr>
      </w:pPr>
      <w:r w:rsidRPr="00C877E2">
        <w:rPr>
          <w:rFonts w:ascii="Calibri" w:hAnsi="Calibri" w:cs="Calibri"/>
        </w:rPr>
        <w:t>Se consideraron únicamente aquellas iniciativas que, conforme a la programación vigente, disponían de financiamiento asociado a la Asignación 070 y que se encontraban expresamente incorporadas en los respectivos Planes de Desarrollo de los territorios rezagados.</w:t>
      </w:r>
    </w:p>
    <w:p w14:paraId="0A2D60A9" w14:textId="77777777" w:rsidR="00706FE7" w:rsidRPr="00C877E2" w:rsidRDefault="00706FE7" w:rsidP="00C877E2">
      <w:pPr>
        <w:jc w:val="both"/>
        <w:rPr>
          <w:rFonts w:ascii="Calibri" w:hAnsi="Calibri" w:cs="Calibri"/>
        </w:rPr>
      </w:pPr>
      <w:r w:rsidRPr="00C877E2">
        <w:rPr>
          <w:rFonts w:ascii="Calibri" w:hAnsi="Calibri" w:cs="Calibri"/>
        </w:rPr>
        <w:t>Lo anterior permitió mantener la coherencia entre la planificación estratégica aprobada para cada territorio y la asignación efectiva de recursos presupuestarios, resguardando el cumplimiento de las acciones y metas comprometidas en los instrumentos de planificación territorial.</w:t>
      </w:r>
    </w:p>
    <w:p w14:paraId="09E1DF4E" w14:textId="7A4AC3EE" w:rsidR="00706FE7" w:rsidRPr="00C877E2" w:rsidRDefault="00706FE7" w:rsidP="00C877E2">
      <w:pPr>
        <w:jc w:val="both"/>
        <w:rPr>
          <w:rFonts w:ascii="Calibri" w:hAnsi="Calibri" w:cs="Calibri"/>
        </w:rPr>
      </w:pPr>
      <w:r w:rsidRPr="00C877E2">
        <w:rPr>
          <w:rFonts w:ascii="Calibri" w:hAnsi="Calibri" w:cs="Calibri"/>
        </w:rPr>
        <w:t>Asimismo, este criterio contribuye a</w:t>
      </w:r>
      <w:r w:rsidR="00AB7983">
        <w:rPr>
          <w:rFonts w:ascii="Calibri" w:hAnsi="Calibri" w:cs="Calibri"/>
        </w:rPr>
        <w:t xml:space="preserve"> </w:t>
      </w:r>
      <w:r w:rsidRPr="00C877E2">
        <w:rPr>
          <w:rFonts w:ascii="Calibri" w:hAnsi="Calibri" w:cs="Calibri"/>
        </w:rPr>
        <w:t xml:space="preserve">la consistencia entre los procesos de </w:t>
      </w:r>
      <w:r w:rsidR="00AB7983">
        <w:rPr>
          <w:rFonts w:ascii="Calibri" w:hAnsi="Calibri" w:cs="Calibri"/>
        </w:rPr>
        <w:t>planificación</w:t>
      </w:r>
      <w:r w:rsidRPr="00C877E2">
        <w:rPr>
          <w:rFonts w:ascii="Calibri" w:hAnsi="Calibri" w:cs="Calibri"/>
        </w:rPr>
        <w:t xml:space="preserve"> y ejecución de las iniciativas contempladas en cada plan.</w:t>
      </w:r>
    </w:p>
    <w:p w14:paraId="394077BF" w14:textId="77777777" w:rsidR="00706FE7" w:rsidRPr="00C877E2" w:rsidRDefault="00706FE7" w:rsidP="00C877E2">
      <w:pPr>
        <w:numPr>
          <w:ilvl w:val="0"/>
          <w:numId w:val="3"/>
        </w:numPr>
        <w:jc w:val="both"/>
        <w:rPr>
          <w:rFonts w:ascii="Calibri" w:hAnsi="Calibri" w:cs="Calibri"/>
          <w:b/>
          <w:bCs/>
        </w:rPr>
      </w:pPr>
      <w:r w:rsidRPr="00C877E2">
        <w:rPr>
          <w:rFonts w:ascii="Calibri" w:hAnsi="Calibri" w:cs="Calibri"/>
          <w:b/>
          <w:bCs/>
        </w:rPr>
        <w:t>Priorización de proyectos de arrastre</w:t>
      </w:r>
    </w:p>
    <w:p w14:paraId="793EAE01" w14:textId="77777777" w:rsidR="00706FE7" w:rsidRPr="00C877E2" w:rsidRDefault="00706FE7" w:rsidP="00C877E2">
      <w:pPr>
        <w:jc w:val="both"/>
        <w:rPr>
          <w:rFonts w:ascii="Calibri" w:hAnsi="Calibri" w:cs="Calibri"/>
        </w:rPr>
      </w:pPr>
      <w:r w:rsidRPr="00C877E2">
        <w:rPr>
          <w:rFonts w:ascii="Calibri" w:hAnsi="Calibri" w:cs="Calibri"/>
        </w:rPr>
        <w:t>Con el propósito de asegurar la continuidad de las inversiones en ejecución y evitar la paralización de obras o iniciativas previamente comprometidas, se otorgó prioridad a los proyectos de arrastre.</w:t>
      </w:r>
    </w:p>
    <w:p w14:paraId="74A65179" w14:textId="214B8B8E" w:rsidR="00706FE7" w:rsidRPr="00C877E2" w:rsidRDefault="00706FE7" w:rsidP="00C877E2">
      <w:pPr>
        <w:jc w:val="both"/>
        <w:rPr>
          <w:rFonts w:ascii="Calibri" w:hAnsi="Calibri" w:cs="Calibri"/>
        </w:rPr>
      </w:pPr>
      <w:r w:rsidRPr="00C877E2">
        <w:rPr>
          <w:rFonts w:ascii="Calibri" w:hAnsi="Calibri" w:cs="Calibri"/>
        </w:rPr>
        <w:t>Esta medida responde a la necesidad de dar cumplimiento a los compromisos asumidos por el Estado en los territorios rezagados, garantizando la continuidad financiera de iniciativas que ya presentan avances físicos o financieros y cuya interrupción podría afectar el cumplimiento de los objetivos establecidos.</w:t>
      </w:r>
    </w:p>
    <w:p w14:paraId="2B908B90" w14:textId="12336ECC" w:rsidR="00706FE7" w:rsidRPr="00C877E2" w:rsidRDefault="00706FE7" w:rsidP="00C877E2">
      <w:pPr>
        <w:jc w:val="both"/>
        <w:rPr>
          <w:rFonts w:ascii="Calibri" w:hAnsi="Calibri" w:cs="Calibri"/>
        </w:rPr>
      </w:pPr>
      <w:r w:rsidRPr="00C877E2">
        <w:rPr>
          <w:rFonts w:ascii="Calibri" w:hAnsi="Calibri" w:cs="Calibri"/>
        </w:rPr>
        <w:t xml:space="preserve">La priorización de proyectos de arrastre constituye una práctica de gestión responsable de los recursos públicos, permitiendo maximizar el impacto de las inversiones realizadas y asegurar la entrega oportuna de beneficios a </w:t>
      </w:r>
      <w:r w:rsidR="00AB7983">
        <w:rPr>
          <w:rFonts w:ascii="Calibri" w:hAnsi="Calibri" w:cs="Calibri"/>
        </w:rPr>
        <w:t>los territorios</w:t>
      </w:r>
      <w:r w:rsidRPr="00C877E2">
        <w:rPr>
          <w:rFonts w:ascii="Calibri" w:hAnsi="Calibri" w:cs="Calibri"/>
        </w:rPr>
        <w:t>.</w:t>
      </w:r>
    </w:p>
    <w:p w14:paraId="6346EFD9" w14:textId="77777777" w:rsidR="00706FE7" w:rsidRPr="00C877E2" w:rsidRDefault="00706FE7" w:rsidP="00C877E2">
      <w:pPr>
        <w:numPr>
          <w:ilvl w:val="0"/>
          <w:numId w:val="4"/>
        </w:numPr>
        <w:jc w:val="both"/>
        <w:rPr>
          <w:rFonts w:ascii="Calibri" w:hAnsi="Calibri" w:cs="Calibri"/>
          <w:b/>
          <w:bCs/>
        </w:rPr>
      </w:pPr>
      <w:r w:rsidRPr="00C877E2">
        <w:rPr>
          <w:rFonts w:ascii="Calibri" w:hAnsi="Calibri" w:cs="Calibri"/>
          <w:b/>
          <w:bCs/>
        </w:rPr>
        <w:t>Cumplimiento de obligaciones de seguimiento y reporte por parte de los Gobiernos Regionales</w:t>
      </w:r>
    </w:p>
    <w:p w14:paraId="336C3E2F" w14:textId="77777777" w:rsidR="00706FE7" w:rsidRPr="00C877E2" w:rsidRDefault="00706FE7" w:rsidP="00C877E2">
      <w:pPr>
        <w:jc w:val="both"/>
        <w:rPr>
          <w:rFonts w:ascii="Calibri" w:hAnsi="Calibri" w:cs="Calibri"/>
        </w:rPr>
      </w:pPr>
      <w:r w:rsidRPr="00C877E2">
        <w:rPr>
          <w:rFonts w:ascii="Calibri" w:hAnsi="Calibri" w:cs="Calibri"/>
        </w:rPr>
        <w:t>Considerando que la normativa vigente asigna a los Gobiernos Regionales responsabilidades específicas en materia de seguimiento, monitoreo y evaluación de los Planes de Desarrollo, se incorporó como criterio de distribución el cumplimiento en la entrega de los cuatro reportes correspondientes al año 2025.</w:t>
      </w:r>
    </w:p>
    <w:p w14:paraId="5A9A6F8F" w14:textId="77777777" w:rsidR="00706FE7" w:rsidRPr="00C877E2" w:rsidRDefault="00706FE7" w:rsidP="00C877E2">
      <w:pPr>
        <w:jc w:val="both"/>
        <w:rPr>
          <w:rFonts w:ascii="Calibri" w:hAnsi="Calibri" w:cs="Calibri"/>
        </w:rPr>
      </w:pPr>
      <w:r w:rsidRPr="00C877E2">
        <w:rPr>
          <w:rFonts w:ascii="Calibri" w:hAnsi="Calibri" w:cs="Calibri"/>
        </w:rPr>
        <w:t>La presentación oportuna de dichos informes constituye un mecanismo esencial para verificar el estado de avance de las iniciativas financiadas, evaluar el cumplimiento de los compromisos programáticos y disponer de información actualizada para la toma de decisiones respecto de la asignación de recursos.</w:t>
      </w:r>
    </w:p>
    <w:p w14:paraId="71B69CA9" w14:textId="77777777" w:rsidR="00706FE7" w:rsidRPr="00C877E2" w:rsidRDefault="00706FE7" w:rsidP="00C877E2">
      <w:pPr>
        <w:jc w:val="both"/>
        <w:rPr>
          <w:rFonts w:ascii="Calibri" w:hAnsi="Calibri" w:cs="Calibri"/>
        </w:rPr>
      </w:pPr>
      <w:r w:rsidRPr="00C877E2">
        <w:rPr>
          <w:rFonts w:ascii="Calibri" w:hAnsi="Calibri" w:cs="Calibri"/>
        </w:rPr>
        <w:t xml:space="preserve">En consecuencia, se consideró favorablemente a aquellos Gobiernos Regionales que cumplieron íntegramente con la remisión de los reportes requeridos, fortaleciendo así los principios de </w:t>
      </w:r>
      <w:r w:rsidRPr="00C877E2">
        <w:rPr>
          <w:rFonts w:ascii="Calibri" w:hAnsi="Calibri" w:cs="Calibri"/>
        </w:rPr>
        <w:lastRenderedPageBreak/>
        <w:t>transparencia, rendición de cuentas y control de gestión asociados a la implementación de la Política Nacional sobre Zonas Rezagadas.</w:t>
      </w:r>
    </w:p>
    <w:p w14:paraId="4544FAB7" w14:textId="77777777" w:rsidR="00F6265E" w:rsidRDefault="00F6265E" w:rsidP="00C877E2">
      <w:pPr>
        <w:jc w:val="both"/>
        <w:rPr>
          <w:rFonts w:ascii="Calibri" w:hAnsi="Calibri" w:cs="Calibri"/>
          <w:b/>
          <w:bCs/>
        </w:rPr>
      </w:pPr>
    </w:p>
    <w:p w14:paraId="05A4E5D3" w14:textId="25F1B8A3" w:rsidR="00706FE7" w:rsidRPr="00C877E2" w:rsidRDefault="00706FE7" w:rsidP="00C877E2">
      <w:pPr>
        <w:jc w:val="both"/>
        <w:rPr>
          <w:rFonts w:ascii="Calibri" w:hAnsi="Calibri" w:cs="Calibri"/>
          <w:b/>
          <w:bCs/>
        </w:rPr>
      </w:pPr>
      <w:r w:rsidRPr="00C877E2">
        <w:rPr>
          <w:rFonts w:ascii="Calibri" w:hAnsi="Calibri" w:cs="Calibri"/>
          <w:b/>
          <w:bCs/>
        </w:rPr>
        <w:t>CONCLUSIONES</w:t>
      </w:r>
      <w:r w:rsidR="00C877E2">
        <w:rPr>
          <w:rFonts w:ascii="Calibri" w:hAnsi="Calibri" w:cs="Calibri"/>
          <w:b/>
          <w:bCs/>
        </w:rPr>
        <w:t>:</w:t>
      </w:r>
    </w:p>
    <w:p w14:paraId="0467B705" w14:textId="412A17DA" w:rsidR="00F61BB4" w:rsidRDefault="00706FE7" w:rsidP="00C877E2">
      <w:pPr>
        <w:jc w:val="both"/>
        <w:rPr>
          <w:rFonts w:ascii="Calibri" w:hAnsi="Calibri" w:cs="Calibri"/>
        </w:rPr>
      </w:pPr>
      <w:r w:rsidRPr="00C877E2">
        <w:rPr>
          <w:rFonts w:ascii="Calibri" w:hAnsi="Calibri" w:cs="Calibri"/>
        </w:rPr>
        <w:t>La distribución de los recursos de la Asignación 070 “Planes de Desarrollo para Territorios Rezagados”, se efectuó sobre la base de criterios objetivos, verificables y consistentes con la Política Nacional sobre Zonas Rezagadas</w:t>
      </w:r>
      <w:r w:rsidR="00CA5644">
        <w:rPr>
          <w:rFonts w:ascii="Calibri" w:hAnsi="Calibri" w:cs="Calibri"/>
        </w:rPr>
        <w:t>,</w:t>
      </w:r>
      <w:r w:rsidRPr="00C877E2">
        <w:rPr>
          <w:rFonts w:ascii="Calibri" w:hAnsi="Calibri" w:cs="Calibri"/>
        </w:rPr>
        <w:t xml:space="preserve"> </w:t>
      </w:r>
      <w:r w:rsidR="00AB7983">
        <w:rPr>
          <w:rFonts w:ascii="Calibri" w:hAnsi="Calibri" w:cs="Calibri"/>
        </w:rPr>
        <w:t>que</w:t>
      </w:r>
      <w:r w:rsidRPr="00C877E2">
        <w:rPr>
          <w:rFonts w:ascii="Calibri" w:hAnsi="Calibri" w:cs="Calibri"/>
        </w:rPr>
        <w:t xml:space="preserve"> permitieron priorizar iniciativas técnicamente viables, alineadas con los Planes de Desarrollo vigentes, asegurar la continuidad de proyectos en ejecución y promover el cumplimiento de las obligaciones de seguimiento y monitoreo por parte de los Gobiernos Regionales.</w:t>
      </w:r>
      <w:r w:rsidR="00AB7983">
        <w:rPr>
          <w:rFonts w:ascii="Calibri" w:hAnsi="Calibri" w:cs="Calibri"/>
        </w:rPr>
        <w:t xml:space="preserve"> </w:t>
      </w:r>
      <w:r w:rsidR="00AB7983" w:rsidRPr="00C877E2">
        <w:rPr>
          <w:rFonts w:ascii="Calibri" w:hAnsi="Calibri" w:cs="Calibri"/>
        </w:rPr>
        <w:t>Finalmente,</w:t>
      </w:r>
      <w:r w:rsidRPr="00C877E2">
        <w:rPr>
          <w:rFonts w:ascii="Calibri" w:hAnsi="Calibri" w:cs="Calibri"/>
        </w:rPr>
        <w:t xml:space="preserve"> la cartera a financiar suma un total M$6.882.515 que se distribuye de la siguiente manera: </w:t>
      </w:r>
    </w:p>
    <w:p w14:paraId="0669B0F5" w14:textId="24046E90" w:rsidR="00706FE7" w:rsidRDefault="00706FE7" w:rsidP="00706FE7">
      <w:pPr>
        <w:jc w:val="center"/>
      </w:pPr>
      <w:r w:rsidRPr="00706FE7">
        <w:rPr>
          <w:noProof/>
          <w:lang w:eastAsia="es-CL"/>
        </w:rPr>
        <w:lastRenderedPageBreak/>
        <w:drawing>
          <wp:inline distT="0" distB="0" distL="0" distR="0" wp14:anchorId="59125F6E" wp14:editId="142D85F6">
            <wp:extent cx="4371975" cy="6410325"/>
            <wp:effectExtent l="0" t="0" r="9525" b="9525"/>
            <wp:docPr id="13410578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057827" name=""/>
                    <pic:cNvPicPr/>
                  </pic:nvPicPr>
                  <pic:blipFill>
                    <a:blip r:embed="rId8"/>
                    <a:stretch>
                      <a:fillRect/>
                    </a:stretch>
                  </pic:blipFill>
                  <pic:spPr>
                    <a:xfrm>
                      <a:off x="0" y="0"/>
                      <a:ext cx="4371975" cy="6410325"/>
                    </a:xfrm>
                    <a:prstGeom prst="rect">
                      <a:avLst/>
                    </a:prstGeom>
                  </pic:spPr>
                </pic:pic>
              </a:graphicData>
            </a:graphic>
          </wp:inline>
        </w:drawing>
      </w:r>
    </w:p>
    <w:sectPr w:rsidR="00706FE7">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DA989A" w14:textId="77777777" w:rsidR="00905CCA" w:rsidRDefault="00905CCA" w:rsidP="00CC37DB">
      <w:pPr>
        <w:spacing w:after="0" w:line="240" w:lineRule="auto"/>
      </w:pPr>
      <w:r>
        <w:separator/>
      </w:r>
    </w:p>
  </w:endnote>
  <w:endnote w:type="continuationSeparator" w:id="0">
    <w:p w14:paraId="3CAD4AD1" w14:textId="77777777" w:rsidR="00905CCA" w:rsidRDefault="00905CCA" w:rsidP="00CC37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5648089"/>
      <w:docPartObj>
        <w:docPartGallery w:val="Page Numbers (Bottom of Page)"/>
        <w:docPartUnique/>
      </w:docPartObj>
    </w:sdtPr>
    <w:sdtEndPr>
      <w:rPr>
        <w:sz w:val="12"/>
        <w:szCs w:val="12"/>
      </w:rPr>
    </w:sdtEndPr>
    <w:sdtContent>
      <w:p w14:paraId="1C262CDF" w14:textId="21A2B95E" w:rsidR="00CC37DB" w:rsidRPr="00CC37DB" w:rsidRDefault="00CC37DB">
        <w:pPr>
          <w:pStyle w:val="Piedepgina"/>
          <w:jc w:val="right"/>
          <w:rPr>
            <w:sz w:val="12"/>
            <w:szCs w:val="12"/>
          </w:rPr>
        </w:pPr>
        <w:r w:rsidRPr="00CC37DB">
          <w:rPr>
            <w:sz w:val="12"/>
            <w:szCs w:val="12"/>
          </w:rPr>
          <w:fldChar w:fldCharType="begin"/>
        </w:r>
        <w:r w:rsidRPr="00CC37DB">
          <w:rPr>
            <w:sz w:val="12"/>
            <w:szCs w:val="12"/>
          </w:rPr>
          <w:instrText>PAGE   \* MERGEFORMAT</w:instrText>
        </w:r>
        <w:r w:rsidRPr="00CC37DB">
          <w:rPr>
            <w:sz w:val="12"/>
            <w:szCs w:val="12"/>
          </w:rPr>
          <w:fldChar w:fldCharType="separate"/>
        </w:r>
        <w:r w:rsidR="008D2A9A" w:rsidRPr="008D2A9A">
          <w:rPr>
            <w:noProof/>
            <w:sz w:val="12"/>
            <w:szCs w:val="12"/>
            <w:lang w:val="es-ES"/>
          </w:rPr>
          <w:t>2</w:t>
        </w:r>
        <w:r w:rsidRPr="00CC37DB">
          <w:rPr>
            <w:sz w:val="12"/>
            <w:szCs w:val="12"/>
          </w:rPr>
          <w:fldChar w:fldCharType="end"/>
        </w:r>
      </w:p>
    </w:sdtContent>
  </w:sdt>
  <w:p w14:paraId="6EC16A06" w14:textId="77777777" w:rsidR="00CC37DB" w:rsidRPr="00CC37DB" w:rsidRDefault="00CC37DB" w:rsidP="00CC37DB">
    <w:pPr>
      <w:pStyle w:val="Piedepgina"/>
      <w:jc w:val="center"/>
      <w:rPr>
        <w:rFonts w:ascii="Calibri" w:hAnsi="Calibri" w:cs="Calibri"/>
        <w:b/>
        <w:bCs/>
        <w:sz w:val="12"/>
        <w:szCs w:val="12"/>
        <w:lang w:val="es-MX"/>
      </w:rPr>
    </w:pPr>
    <w:r w:rsidRPr="00CC37DB">
      <w:rPr>
        <w:rFonts w:ascii="Calibri" w:hAnsi="Calibri" w:cs="Calibri"/>
        <w:b/>
        <w:bCs/>
        <w:sz w:val="12"/>
        <w:szCs w:val="12"/>
        <w:lang w:val="es-MX"/>
      </w:rPr>
      <w:t xml:space="preserve">SUBDERE                                                                                                                                                                                 </w:t>
    </w:r>
  </w:p>
  <w:p w14:paraId="0D0D5F78" w14:textId="77777777" w:rsidR="00CC37DB" w:rsidRPr="00CC37DB" w:rsidRDefault="00CC37DB" w:rsidP="00CC37DB">
    <w:pPr>
      <w:pStyle w:val="Piedepgina"/>
      <w:jc w:val="center"/>
      <w:rPr>
        <w:rFonts w:ascii="Calibri" w:hAnsi="Calibri" w:cs="Calibri"/>
        <w:sz w:val="12"/>
        <w:szCs w:val="12"/>
        <w:lang w:val="es-MX"/>
      </w:rPr>
    </w:pPr>
    <w:r w:rsidRPr="00CC37DB">
      <w:rPr>
        <w:rFonts w:ascii="Calibri" w:hAnsi="Calibri" w:cs="Calibri"/>
        <w:sz w:val="12"/>
        <w:szCs w:val="12"/>
        <w:lang w:val="es-MX"/>
      </w:rPr>
      <w:t xml:space="preserve"> División de Desarrollo Regional</w:t>
    </w:r>
  </w:p>
  <w:p w14:paraId="551438AA" w14:textId="77777777" w:rsidR="00CC37DB" w:rsidRPr="00CC37DB" w:rsidRDefault="00CC37DB" w:rsidP="00CC37DB">
    <w:pPr>
      <w:pStyle w:val="Piedepgina"/>
      <w:jc w:val="center"/>
      <w:rPr>
        <w:rFonts w:ascii="Calibri" w:hAnsi="Calibri" w:cs="Calibri"/>
        <w:sz w:val="12"/>
        <w:szCs w:val="12"/>
        <w:lang w:val="es-MX"/>
      </w:rPr>
    </w:pPr>
    <w:r w:rsidRPr="00CC37DB">
      <w:rPr>
        <w:rFonts w:ascii="Calibri" w:hAnsi="Calibri" w:cs="Calibri"/>
        <w:sz w:val="12"/>
        <w:szCs w:val="12"/>
        <w:lang w:val="es-MX"/>
      </w:rPr>
      <w:t>Departamento de Fortalecimiento Regional</w:t>
    </w:r>
  </w:p>
  <w:p w14:paraId="03CEA2D6" w14:textId="77777777" w:rsidR="00CC37DB" w:rsidRPr="00CC37DB" w:rsidRDefault="00CC37DB" w:rsidP="00CC37DB">
    <w:pPr>
      <w:pStyle w:val="Piedepgina"/>
      <w:jc w:val="center"/>
      <w:rPr>
        <w:rFonts w:ascii="Calibri" w:hAnsi="Calibri" w:cs="Calibri"/>
        <w:sz w:val="12"/>
        <w:szCs w:val="12"/>
        <w:lang w:val="es-MX"/>
      </w:rPr>
    </w:pPr>
    <w:r w:rsidRPr="00CC37DB">
      <w:rPr>
        <w:rFonts w:ascii="Calibri" w:hAnsi="Calibri" w:cs="Calibri"/>
        <w:sz w:val="12"/>
        <w:szCs w:val="12"/>
        <w:lang w:val="es-MX"/>
      </w:rPr>
      <w:t>Unidad de Convergencia y Equidad Territorial</w:t>
    </w:r>
  </w:p>
  <w:p w14:paraId="050CD7ED" w14:textId="3A0CE7D2" w:rsidR="00CC37DB" w:rsidRPr="00CC37DB" w:rsidRDefault="00CC37DB" w:rsidP="00CC37DB">
    <w:pPr>
      <w:pStyle w:val="Piedepgina"/>
      <w:jc w:val="center"/>
      <w:rPr>
        <w:rFonts w:ascii="Calibri" w:hAnsi="Calibri" w:cs="Calibri"/>
        <w:sz w:val="12"/>
        <w:szCs w:val="12"/>
        <w:lang w:val="es-MX"/>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5D6D07" w14:textId="77777777" w:rsidR="00905CCA" w:rsidRDefault="00905CCA" w:rsidP="00CC37DB">
      <w:pPr>
        <w:spacing w:after="0" w:line="240" w:lineRule="auto"/>
      </w:pPr>
      <w:r>
        <w:separator/>
      </w:r>
    </w:p>
  </w:footnote>
  <w:footnote w:type="continuationSeparator" w:id="0">
    <w:p w14:paraId="2DC8632B" w14:textId="77777777" w:rsidR="00905CCA" w:rsidRDefault="00905CCA" w:rsidP="00CC37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76AA9" w14:textId="4AC3A3FF" w:rsidR="00F6265E" w:rsidRDefault="00F6265E" w:rsidP="00CC37DB">
    <w:pPr>
      <w:jc w:val="center"/>
      <w:rPr>
        <w:b/>
        <w:bCs/>
      </w:rPr>
    </w:pPr>
    <w:r>
      <w:rPr>
        <w:noProof/>
        <w:lang w:eastAsia="es-CL"/>
      </w:rPr>
      <w:drawing>
        <wp:anchor distT="0" distB="0" distL="114300" distR="114300" simplePos="0" relativeHeight="251659264" behindDoc="1" locked="0" layoutInCell="1" allowOverlap="1" wp14:anchorId="4E774155" wp14:editId="589B18C1">
          <wp:simplePos x="0" y="0"/>
          <wp:positionH relativeFrom="column">
            <wp:posOffset>2253615</wp:posOffset>
          </wp:positionH>
          <wp:positionV relativeFrom="paragraph">
            <wp:posOffset>-440055</wp:posOffset>
          </wp:positionV>
          <wp:extent cx="600075" cy="647700"/>
          <wp:effectExtent l="0" t="0" r="9525" b="0"/>
          <wp:wrapTight wrapText="bothSides">
            <wp:wrapPolygon edited="0">
              <wp:start x="0" y="0"/>
              <wp:lineTo x="0" y="20965"/>
              <wp:lineTo x="21257" y="20965"/>
              <wp:lineTo x="21257" y="0"/>
              <wp:lineTo x="0" y="0"/>
            </wp:wrapPolygon>
          </wp:wrapTight>
          <wp:docPr id="1121" name="image1.jpg">
            <a:extLst xmlns:a="http://schemas.openxmlformats.org/drawingml/2006/main">
              <a:ext uri="{FF2B5EF4-FFF2-40B4-BE49-F238E27FC236}">
                <a16:creationId xmlns:a16="http://schemas.microsoft.com/office/drawing/2014/main" id="{00000000-0008-0000-0000-00006104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 name="image1.jpg">
                    <a:extLst>
                      <a:ext uri="{FF2B5EF4-FFF2-40B4-BE49-F238E27FC236}">
                        <a16:creationId xmlns:a16="http://schemas.microsoft.com/office/drawing/2014/main" id="{00000000-0008-0000-0000-000061040000}"/>
                      </a:ext>
                    </a:extLst>
                  </pic:cNvPr>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647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583FE2" w14:textId="015C4CB5" w:rsidR="00CC37DB" w:rsidRPr="0052538B" w:rsidRDefault="00CC37DB" w:rsidP="00CC37DB">
    <w:pPr>
      <w:jc w:val="center"/>
      <w:rPr>
        <w:b/>
        <w:bCs/>
      </w:rPr>
    </w:pPr>
    <w:r>
      <w:rPr>
        <w:b/>
        <w:bCs/>
      </w:rPr>
      <w:t xml:space="preserve">CARTERA Y </w:t>
    </w:r>
    <w:r w:rsidRPr="0052538B">
      <w:rPr>
        <w:b/>
        <w:bCs/>
      </w:rPr>
      <w:t>CRITERIOS TÉCNICOS Y ADMINISTRATIVOS PARA LA PRIMERA DISTRIBUCIÓN DE RECURSOS - ASIGNACIÓN 0</w:t>
    </w:r>
    <w:r>
      <w:rPr>
        <w:b/>
        <w:bCs/>
      </w:rPr>
      <w:t>7</w:t>
    </w:r>
    <w:r w:rsidRPr="0052538B">
      <w:rPr>
        <w:b/>
        <w:bCs/>
      </w:rPr>
      <w:t xml:space="preserve">0 “PLANES DE ZONAS </w:t>
    </w:r>
    <w:r>
      <w:rPr>
        <w:b/>
        <w:bCs/>
      </w:rPr>
      <w:t>REZAGADAS</w:t>
    </w:r>
    <w:r w:rsidRPr="0052538B">
      <w:rPr>
        <w:b/>
        <w:bCs/>
      </w:rPr>
      <w:t>”</w:t>
    </w:r>
  </w:p>
  <w:p w14:paraId="4CBE239B" w14:textId="77777777" w:rsidR="00CC37DB" w:rsidRDefault="00CC37D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6A5060"/>
    <w:multiLevelType w:val="multilevel"/>
    <w:tmpl w:val="8F54EB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47D7963"/>
    <w:multiLevelType w:val="multilevel"/>
    <w:tmpl w:val="4100F1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63C04BE"/>
    <w:multiLevelType w:val="multilevel"/>
    <w:tmpl w:val="1B8E8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C6972A8"/>
    <w:multiLevelType w:val="multilevel"/>
    <w:tmpl w:val="C2DE42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FE7"/>
    <w:rsid w:val="00137A16"/>
    <w:rsid w:val="001E4CE7"/>
    <w:rsid w:val="00526748"/>
    <w:rsid w:val="005962F9"/>
    <w:rsid w:val="00663769"/>
    <w:rsid w:val="00706FE7"/>
    <w:rsid w:val="008D2A9A"/>
    <w:rsid w:val="00905CCA"/>
    <w:rsid w:val="0099213A"/>
    <w:rsid w:val="00AB7983"/>
    <w:rsid w:val="00C877E2"/>
    <w:rsid w:val="00CA5644"/>
    <w:rsid w:val="00CC37DB"/>
    <w:rsid w:val="00D04B61"/>
    <w:rsid w:val="00F61BB4"/>
    <w:rsid w:val="00F6265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E0C0C7"/>
  <w15:chartTrackingRefBased/>
  <w15:docId w15:val="{08DEF274-1AF4-4B2A-B3A0-2214FD8CE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706FE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2">
    <w:name w:val="heading 2"/>
    <w:basedOn w:val="Normal"/>
    <w:next w:val="Normal"/>
    <w:link w:val="Ttulo2Car"/>
    <w:uiPriority w:val="9"/>
    <w:semiHidden/>
    <w:unhideWhenUsed/>
    <w:qFormat/>
    <w:rsid w:val="00706FE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706FE7"/>
    <w:pPr>
      <w:keepNext/>
      <w:keepLines/>
      <w:spacing w:before="160" w:after="80"/>
      <w:outlineLvl w:val="2"/>
    </w:pPr>
    <w:rPr>
      <w:rFonts w:eastAsiaTheme="majorEastAsia" w:cstheme="majorBidi"/>
      <w:color w:val="2E74B5" w:themeColor="accent1" w:themeShade="BF"/>
      <w:sz w:val="28"/>
      <w:szCs w:val="28"/>
    </w:rPr>
  </w:style>
  <w:style w:type="paragraph" w:styleId="Ttulo4">
    <w:name w:val="heading 4"/>
    <w:basedOn w:val="Normal"/>
    <w:next w:val="Normal"/>
    <w:link w:val="Ttulo4Car"/>
    <w:uiPriority w:val="9"/>
    <w:semiHidden/>
    <w:unhideWhenUsed/>
    <w:qFormat/>
    <w:rsid w:val="00706FE7"/>
    <w:pPr>
      <w:keepNext/>
      <w:keepLines/>
      <w:spacing w:before="80" w:after="40"/>
      <w:outlineLvl w:val="3"/>
    </w:pPr>
    <w:rPr>
      <w:rFonts w:eastAsiaTheme="majorEastAsia" w:cstheme="majorBidi"/>
      <w:i/>
      <w:iCs/>
      <w:color w:val="2E74B5" w:themeColor="accent1" w:themeShade="BF"/>
    </w:rPr>
  </w:style>
  <w:style w:type="paragraph" w:styleId="Ttulo5">
    <w:name w:val="heading 5"/>
    <w:basedOn w:val="Normal"/>
    <w:next w:val="Normal"/>
    <w:link w:val="Ttulo5Car"/>
    <w:uiPriority w:val="9"/>
    <w:semiHidden/>
    <w:unhideWhenUsed/>
    <w:qFormat/>
    <w:rsid w:val="00706FE7"/>
    <w:pPr>
      <w:keepNext/>
      <w:keepLines/>
      <w:spacing w:before="80" w:after="40"/>
      <w:outlineLvl w:val="4"/>
    </w:pPr>
    <w:rPr>
      <w:rFonts w:eastAsiaTheme="majorEastAsia" w:cstheme="majorBidi"/>
      <w:color w:val="2E74B5" w:themeColor="accent1" w:themeShade="BF"/>
    </w:rPr>
  </w:style>
  <w:style w:type="paragraph" w:styleId="Ttulo6">
    <w:name w:val="heading 6"/>
    <w:basedOn w:val="Normal"/>
    <w:next w:val="Normal"/>
    <w:link w:val="Ttulo6Car"/>
    <w:uiPriority w:val="9"/>
    <w:semiHidden/>
    <w:unhideWhenUsed/>
    <w:qFormat/>
    <w:rsid w:val="00706FE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06FE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06FE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06FE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06FE7"/>
    <w:rPr>
      <w:rFonts w:asciiTheme="majorHAnsi" w:eastAsiaTheme="majorEastAsia" w:hAnsiTheme="majorHAnsi" w:cstheme="majorBidi"/>
      <w:color w:val="2E74B5" w:themeColor="accent1" w:themeShade="BF"/>
      <w:sz w:val="40"/>
      <w:szCs w:val="40"/>
    </w:rPr>
  </w:style>
  <w:style w:type="character" w:customStyle="1" w:styleId="Ttulo2Car">
    <w:name w:val="Título 2 Car"/>
    <w:basedOn w:val="Fuentedeprrafopredeter"/>
    <w:link w:val="Ttulo2"/>
    <w:uiPriority w:val="9"/>
    <w:semiHidden/>
    <w:rsid w:val="00706FE7"/>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semiHidden/>
    <w:rsid w:val="00706FE7"/>
    <w:rPr>
      <w:rFonts w:eastAsiaTheme="majorEastAsia" w:cstheme="majorBidi"/>
      <w:color w:val="2E74B5" w:themeColor="accent1" w:themeShade="BF"/>
      <w:sz w:val="28"/>
      <w:szCs w:val="28"/>
    </w:rPr>
  </w:style>
  <w:style w:type="character" w:customStyle="1" w:styleId="Ttulo4Car">
    <w:name w:val="Título 4 Car"/>
    <w:basedOn w:val="Fuentedeprrafopredeter"/>
    <w:link w:val="Ttulo4"/>
    <w:uiPriority w:val="9"/>
    <w:semiHidden/>
    <w:rsid w:val="00706FE7"/>
    <w:rPr>
      <w:rFonts w:eastAsiaTheme="majorEastAsia" w:cstheme="majorBidi"/>
      <w:i/>
      <w:iCs/>
      <w:color w:val="2E74B5" w:themeColor="accent1" w:themeShade="BF"/>
    </w:rPr>
  </w:style>
  <w:style w:type="character" w:customStyle="1" w:styleId="Ttulo5Car">
    <w:name w:val="Título 5 Car"/>
    <w:basedOn w:val="Fuentedeprrafopredeter"/>
    <w:link w:val="Ttulo5"/>
    <w:uiPriority w:val="9"/>
    <w:semiHidden/>
    <w:rsid w:val="00706FE7"/>
    <w:rPr>
      <w:rFonts w:eastAsiaTheme="majorEastAsia" w:cstheme="majorBidi"/>
      <w:color w:val="2E74B5" w:themeColor="accent1" w:themeShade="BF"/>
    </w:rPr>
  </w:style>
  <w:style w:type="character" w:customStyle="1" w:styleId="Ttulo6Car">
    <w:name w:val="Título 6 Car"/>
    <w:basedOn w:val="Fuentedeprrafopredeter"/>
    <w:link w:val="Ttulo6"/>
    <w:uiPriority w:val="9"/>
    <w:semiHidden/>
    <w:rsid w:val="00706FE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06FE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06FE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06FE7"/>
    <w:rPr>
      <w:rFonts w:eastAsiaTheme="majorEastAsia" w:cstheme="majorBidi"/>
      <w:color w:val="272727" w:themeColor="text1" w:themeTint="D8"/>
    </w:rPr>
  </w:style>
  <w:style w:type="paragraph" w:styleId="Ttulo">
    <w:name w:val="Title"/>
    <w:basedOn w:val="Normal"/>
    <w:next w:val="Normal"/>
    <w:link w:val="TtuloCar"/>
    <w:uiPriority w:val="10"/>
    <w:qFormat/>
    <w:rsid w:val="00706F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06FE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06FE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06FE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06FE7"/>
    <w:pPr>
      <w:spacing w:before="160"/>
      <w:jc w:val="center"/>
    </w:pPr>
    <w:rPr>
      <w:i/>
      <w:iCs/>
      <w:color w:val="404040" w:themeColor="text1" w:themeTint="BF"/>
    </w:rPr>
  </w:style>
  <w:style w:type="character" w:customStyle="1" w:styleId="CitaCar">
    <w:name w:val="Cita Car"/>
    <w:basedOn w:val="Fuentedeprrafopredeter"/>
    <w:link w:val="Cita"/>
    <w:uiPriority w:val="29"/>
    <w:rsid w:val="00706FE7"/>
    <w:rPr>
      <w:i/>
      <w:iCs/>
      <w:color w:val="404040" w:themeColor="text1" w:themeTint="BF"/>
    </w:rPr>
  </w:style>
  <w:style w:type="paragraph" w:styleId="Prrafodelista">
    <w:name w:val="List Paragraph"/>
    <w:basedOn w:val="Normal"/>
    <w:uiPriority w:val="34"/>
    <w:qFormat/>
    <w:rsid w:val="00706FE7"/>
    <w:pPr>
      <w:ind w:left="720"/>
      <w:contextualSpacing/>
    </w:pPr>
  </w:style>
  <w:style w:type="character" w:styleId="nfasisintenso">
    <w:name w:val="Intense Emphasis"/>
    <w:basedOn w:val="Fuentedeprrafopredeter"/>
    <w:uiPriority w:val="21"/>
    <w:qFormat/>
    <w:rsid w:val="00706FE7"/>
    <w:rPr>
      <w:i/>
      <w:iCs/>
      <w:color w:val="2E74B5" w:themeColor="accent1" w:themeShade="BF"/>
    </w:rPr>
  </w:style>
  <w:style w:type="paragraph" w:styleId="Citadestacada">
    <w:name w:val="Intense Quote"/>
    <w:basedOn w:val="Normal"/>
    <w:next w:val="Normal"/>
    <w:link w:val="CitadestacadaCar"/>
    <w:uiPriority w:val="30"/>
    <w:qFormat/>
    <w:rsid w:val="00706FE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destacadaCar">
    <w:name w:val="Cita destacada Car"/>
    <w:basedOn w:val="Fuentedeprrafopredeter"/>
    <w:link w:val="Citadestacada"/>
    <w:uiPriority w:val="30"/>
    <w:rsid w:val="00706FE7"/>
    <w:rPr>
      <w:i/>
      <w:iCs/>
      <w:color w:val="2E74B5" w:themeColor="accent1" w:themeShade="BF"/>
    </w:rPr>
  </w:style>
  <w:style w:type="character" w:styleId="Referenciaintensa">
    <w:name w:val="Intense Reference"/>
    <w:basedOn w:val="Fuentedeprrafopredeter"/>
    <w:uiPriority w:val="32"/>
    <w:qFormat/>
    <w:rsid w:val="00706FE7"/>
    <w:rPr>
      <w:b/>
      <w:bCs/>
      <w:smallCaps/>
      <w:color w:val="2E74B5" w:themeColor="accent1" w:themeShade="BF"/>
      <w:spacing w:val="5"/>
    </w:rPr>
  </w:style>
  <w:style w:type="paragraph" w:styleId="Encabezado">
    <w:name w:val="header"/>
    <w:basedOn w:val="Normal"/>
    <w:link w:val="EncabezadoCar"/>
    <w:uiPriority w:val="99"/>
    <w:unhideWhenUsed/>
    <w:rsid w:val="00CC37D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C37DB"/>
  </w:style>
  <w:style w:type="paragraph" w:styleId="Piedepgina">
    <w:name w:val="footer"/>
    <w:basedOn w:val="Normal"/>
    <w:link w:val="PiedepginaCar"/>
    <w:uiPriority w:val="99"/>
    <w:unhideWhenUsed/>
    <w:rsid w:val="00CC37D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C37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5CB0E-0E00-4CE2-A344-D7759FCEA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944</Words>
  <Characters>5196</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Hernández Bueno</dc:creator>
  <cp:keywords/>
  <dc:description/>
  <cp:lastModifiedBy>Juan Gaston Collao Tapia</cp:lastModifiedBy>
  <cp:revision>2</cp:revision>
  <dcterms:created xsi:type="dcterms:W3CDTF">2026-08-06T20:05:00Z</dcterms:created>
  <dcterms:modified xsi:type="dcterms:W3CDTF">2026-08-06T20:05:00Z</dcterms:modified>
</cp:coreProperties>
</file>